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spacing w:before="180" w:beforeAutospacing="0" w:after="360" w:afterAutospacing="0" w:line="450" w:lineRule="atLeast"/>
        <w:ind w:left="260" w:right="0"/>
        <w:jc w:val="center"/>
        <w:rPr>
          <w:rFonts w:hint="eastAsia" w:asciiTheme="minorEastAsia" w:hAnsiTheme="minorEastAsia" w:eastAsiaTheme="minorEastAsia" w:cstheme="minorEastAsia"/>
          <w:b/>
          <w:color w:val="333333"/>
          <w:sz w:val="28"/>
          <w:szCs w:val="28"/>
          <w:lang w:val="en-US" w:eastAsia="zh-CN"/>
        </w:rPr>
      </w:pPr>
      <w:r>
        <w:rPr>
          <w:rFonts w:hint="eastAsia" w:asciiTheme="minorEastAsia" w:hAnsiTheme="minorEastAsia" w:eastAsiaTheme="minorEastAsia" w:cstheme="minorEastAsia"/>
          <w:b/>
          <w:color w:val="333333"/>
          <w:sz w:val="28"/>
          <w:szCs w:val="28"/>
          <w:lang w:val="en-US" w:eastAsia="zh-CN"/>
        </w:rPr>
        <w:t>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lang w:val="en-US" w:eastAsia="zh-CN"/>
        </w:rPr>
        <w:t>年度</w:t>
      </w:r>
      <w:r>
        <w:rPr>
          <w:rFonts w:hint="eastAsia" w:asciiTheme="minorEastAsia" w:hAnsiTheme="minorEastAsia" w:cstheme="minorEastAsia"/>
          <w:b/>
          <w:color w:val="333333"/>
          <w:sz w:val="28"/>
          <w:szCs w:val="28"/>
          <w:lang w:val="en-US" w:eastAsia="zh-CN"/>
        </w:rPr>
        <w:t>司法局</w:t>
      </w:r>
      <w:r>
        <w:rPr>
          <w:rFonts w:hint="eastAsia" w:asciiTheme="minorEastAsia" w:hAnsiTheme="minorEastAsia" w:eastAsiaTheme="minorEastAsia" w:cstheme="minorEastAsia"/>
          <w:b/>
          <w:color w:val="333333"/>
          <w:sz w:val="28"/>
          <w:szCs w:val="28"/>
          <w:lang w:val="en-US" w:eastAsia="zh-CN"/>
        </w:rPr>
        <w:t>决算文字说明</w:t>
      </w:r>
    </w:p>
    <w:p>
      <w:pPr>
        <w:pStyle w:val="3"/>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3"/>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3"/>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一、主要职能</w:t>
      </w:r>
    </w:p>
    <w:p>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Theme="minorEastAsia" w:hAnsiTheme="minorEastAsia" w:eastAsiaTheme="minorEastAsia" w:cstheme="minorEastAsia"/>
          <w:color w:val="333333"/>
          <w:sz w:val="28"/>
          <w:szCs w:val="28"/>
          <w:shd w:val="clear" w:fill="FFFFFF"/>
        </w:rPr>
        <w:t> </w:t>
      </w:r>
      <w:r>
        <w:rPr>
          <w:rFonts w:hint="eastAsia" w:ascii="宋体" w:hAnsi="宋体" w:eastAsia="宋体" w:cs="宋体"/>
          <w:sz w:val="28"/>
          <w:szCs w:val="28"/>
        </w:rPr>
        <w:t>（一）贯彻执行国家、省、市司法行政工作的方针、政策和有关法律法规，制定全县司法行政工作的中、长期规划和年度计划并组织实施。</w:t>
      </w:r>
    </w:p>
    <w:p>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（二）负责全县法制宣传教育工作，指导依法治县工作。</w:t>
      </w:r>
    </w:p>
    <w:p>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（三）管理全县社会法律服务市场，指导、监督全县律师、企业法律顾问、公证和法律援助工作，并承担相应责任。</w:t>
      </w:r>
    </w:p>
    <w:p>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（四）指导、监督人民调解、基层司法所和基层法律服务的相关工作；指导全县刑满释放人员、解除劳动教养人员的安置帮教工作。指导、监督管理社区矫正工作。</w:t>
      </w:r>
    </w:p>
    <w:p>
      <w:pPr>
        <w:pStyle w:val="2"/>
        <w:keepNext w:val="0"/>
        <w:keepLines w:val="0"/>
        <w:pageBreakBefore w:val="0"/>
        <w:widowControl w:val="0"/>
        <w:kinsoku/>
        <w:wordWrap/>
        <w:overflowPunct/>
        <w:topLinePunct w:val="0"/>
        <w:autoSpaceDE w:val="0"/>
        <w:autoSpaceDN w:val="0"/>
        <w:bidi w:val="0"/>
        <w:adjustRightInd/>
        <w:snapToGrid/>
        <w:spacing w:before="0" w:after="0"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（五）负责司法行政系统的执法监督检查。指导全县司法行政的行政处罚、行政复议、出庭应诉和国家赔偿工作。</w:t>
      </w:r>
    </w:p>
    <w:p>
      <w:pPr>
        <w:pStyle w:val="3"/>
        <w:keepNext w:val="0"/>
        <w:keepLines w:val="0"/>
        <w:widowControl/>
        <w:suppressLineNumbers w:val="0"/>
        <w:shd w:val="clear" w:fill="FFFFFF"/>
        <w:spacing w:before="180" w:beforeAutospacing="0" w:after="360" w:afterAutospacing="0" w:line="360" w:lineRule="atLeast"/>
        <w:ind w:left="0" w:right="0" w:firstLine="640"/>
        <w:jc w:val="left"/>
        <w:rPr>
          <w:rFonts w:hint="eastAsia" w:asciiTheme="minorEastAsia" w:hAnsiTheme="minorEastAsia" w:eastAsiaTheme="minorEastAsia" w:cstheme="minorEastAsia"/>
          <w:sz w:val="28"/>
          <w:szCs w:val="28"/>
        </w:rPr>
      </w:pPr>
      <w:r>
        <w:rPr>
          <w:rFonts w:hint="eastAsia" w:ascii="宋体" w:hAnsi="宋体" w:eastAsia="宋体" w:cs="宋体"/>
          <w:sz w:val="28"/>
          <w:szCs w:val="28"/>
        </w:rPr>
        <w:t>（六）负责全县司法行政队伍建设和思想作风、工作作风建设。管理、指导全县基层人民调解工作；管理、指导全县法律服务所的业务工作；管理、指导司法所工作；负责基层法律服务机构和法律工作者资格管理工作；监督、检查基层司法行政工作有关政策法规的贯彻执行情况；管理、指导刑满释放解教人员的过渡性安置帮教工作；指导、协调和监督、管理全县法律服务者协会、人民调解协会的工作。</w:t>
      </w:r>
    </w:p>
    <w:p>
      <w:pPr>
        <w:pStyle w:val="3"/>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3"/>
        <w:keepNext w:val="0"/>
        <w:keepLines w:val="0"/>
        <w:widowControl/>
        <w:suppressLineNumbers w:val="0"/>
        <w:spacing w:before="180" w:beforeAutospacing="0" w:after="360" w:afterAutospacing="0" w:line="450" w:lineRule="atLeast"/>
        <w:ind w:left="260" w:right="0" w:firstLine="1257" w:firstLineChars="44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为全额行政单位，内设</w:t>
      </w:r>
      <w:r>
        <w:rPr>
          <w:rFonts w:hint="eastAsia" w:asciiTheme="minorEastAsia" w:hAnsiTheme="minorEastAsia" w:cstheme="minorEastAsia"/>
          <w:color w:val="333333"/>
          <w:sz w:val="28"/>
          <w:szCs w:val="28"/>
          <w:lang w:val="en-US" w:eastAsia="zh-CN"/>
        </w:rPr>
        <w:t>4</w:t>
      </w:r>
      <w:r>
        <w:rPr>
          <w:rFonts w:hint="eastAsia" w:asciiTheme="minorEastAsia" w:hAnsiTheme="minorEastAsia" w:eastAsiaTheme="minorEastAsia" w:cstheme="minorEastAsia"/>
          <w:color w:val="333333"/>
          <w:sz w:val="28"/>
          <w:szCs w:val="28"/>
        </w:rPr>
        <w:t>个内设机构，为一级预算单位。</w:t>
      </w:r>
    </w:p>
    <w:p>
      <w:pPr>
        <w:pStyle w:val="3"/>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3"/>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行政单位编制数</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cstheme="minorEastAsia"/>
          <w:color w:val="333333"/>
          <w:sz w:val="28"/>
          <w:szCs w:val="28"/>
          <w:lang w:val="en-US" w:eastAsia="zh-CN"/>
        </w:rPr>
        <w:t>24</w:t>
      </w:r>
      <w:r>
        <w:rPr>
          <w:rFonts w:hint="eastAsia" w:asciiTheme="minorEastAsia" w:hAnsiTheme="minorEastAsia" w:eastAsiaTheme="minorEastAsia" w:cstheme="minorEastAsia"/>
          <w:color w:val="333333"/>
          <w:sz w:val="28"/>
          <w:szCs w:val="28"/>
        </w:rPr>
        <w:t>，在职</w:t>
      </w:r>
      <w:r>
        <w:rPr>
          <w:rFonts w:hint="eastAsia" w:asciiTheme="minorEastAsia" w:hAnsiTheme="minorEastAsia" w:cstheme="minorEastAsia"/>
          <w:color w:val="333333"/>
          <w:sz w:val="28"/>
          <w:szCs w:val="28"/>
          <w:lang w:val="en-US" w:eastAsia="zh-CN"/>
        </w:rPr>
        <w:t>24</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人。</w:t>
      </w:r>
    </w:p>
    <w:p>
      <w:pPr>
        <w:pStyle w:val="3"/>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bookmarkStart w:id="0" w:name="_GoBack"/>
      <w:bookmarkEnd w:id="0"/>
    </w:p>
    <w:p>
      <w:pPr>
        <w:pStyle w:val="3"/>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年度部门决算情况说明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一、201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455.60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348.95</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122.74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35.17</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29.84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9.35</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455.60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417.58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91.65</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38.02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8.35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348.95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329.98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94.56</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18.97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5.44</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417.58</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84.76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25.47</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348.95</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29.88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9.36</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348.95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年相比，财政拨款支出增加</w:t>
      </w:r>
      <w:r>
        <w:rPr>
          <w:rFonts w:hint="eastAsia" w:asciiTheme="minorEastAsia" w:hAnsiTheme="minorEastAsia" w:cstheme="minorEastAsia"/>
          <w:i w:val="0"/>
          <w:caps w:val="0"/>
          <w:color w:val="373737"/>
          <w:spacing w:val="0"/>
          <w:sz w:val="28"/>
          <w:szCs w:val="28"/>
          <w:shd w:val="clear" w:fill="FFFFFF"/>
          <w:vertAlign w:val="baseline"/>
          <w:lang w:val="en-US" w:eastAsia="zh-CN"/>
        </w:rPr>
        <w:t>29.88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9.36</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348.95</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38.61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11.06</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公共安全</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294.38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84.36</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1.46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0.42</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14.50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4.16</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276.91</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348.95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126</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%。决算数大于预算数的主要原因：一是201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年在职、离退休职工工资增长了和由于工资的增长相应的医疗保险、住房公积金、住房提租补贴相应的缴交比例也随之增加，所以决算数大于预算数；二是201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w:t>
      </w:r>
      <w:r>
        <w:rPr>
          <w:rFonts w:hint="eastAsia" w:asciiTheme="minorEastAsia" w:hAnsiTheme="minorEastAsia" w:cstheme="minorEastAsia"/>
          <w:i w:val="0"/>
          <w:caps w:val="0"/>
          <w:color w:val="373737"/>
          <w:spacing w:val="0"/>
          <w:sz w:val="28"/>
          <w:szCs w:val="28"/>
          <w:shd w:val="clear" w:fill="FFFFFF"/>
          <w:vertAlign w:val="baseline"/>
          <w:lang w:val="en-US" w:eastAsia="zh-CN"/>
        </w:rPr>
        <w:t>司法</w:t>
      </w:r>
      <w:r>
        <w:rPr>
          <w:rFonts w:hint="eastAsia" w:asciiTheme="minorEastAsia" w:hAnsiTheme="minorEastAsia" w:eastAsiaTheme="minorEastAsia" w:cstheme="minorEastAsia"/>
          <w:i w:val="0"/>
          <w:caps w:val="0"/>
          <w:color w:val="373737"/>
          <w:spacing w:val="0"/>
          <w:sz w:val="28"/>
          <w:szCs w:val="28"/>
          <w:shd w:val="clear" w:fill="FFFFFF"/>
          <w:vertAlign w:val="baseline"/>
        </w:rPr>
        <w:t>行政管理事务等项目资金。其中：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44.67</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38.61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86.43</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val="en-US"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w:t>
      </w:r>
      <w:r>
        <w:rPr>
          <w:rFonts w:hint="eastAsia" w:asciiTheme="minorEastAsia" w:hAnsiTheme="minorEastAsia" w:cstheme="minorEastAsia"/>
          <w:i w:val="0"/>
          <w:caps w:val="0"/>
          <w:color w:val="373737"/>
          <w:spacing w:val="0"/>
          <w:sz w:val="28"/>
          <w:szCs w:val="28"/>
          <w:shd w:val="clear" w:fill="FFFFFF"/>
          <w:vertAlign w:val="baseline"/>
          <w:lang w:val="en-US" w:eastAsia="zh-CN"/>
        </w:rPr>
        <w:t>5月</w:t>
      </w:r>
      <w:r>
        <w:rPr>
          <w:rFonts w:hint="eastAsia" w:asciiTheme="minorEastAsia" w:hAnsiTheme="minorEastAsia" w:eastAsiaTheme="minorEastAsia" w:cstheme="minorEastAsia"/>
          <w:i w:val="0"/>
          <w:caps w:val="0"/>
          <w:color w:val="373737"/>
          <w:spacing w:val="0"/>
          <w:sz w:val="28"/>
          <w:szCs w:val="28"/>
          <w:shd w:val="clear" w:fill="FFFFFF"/>
          <w:vertAlign w:val="baseline"/>
        </w:rPr>
        <w:t>离退休职工</w:t>
      </w:r>
      <w:r>
        <w:rPr>
          <w:rFonts w:hint="eastAsia" w:asciiTheme="minorEastAsia" w:hAnsiTheme="minorEastAsia" w:cstheme="minorEastAsia"/>
          <w:i w:val="0"/>
          <w:caps w:val="0"/>
          <w:color w:val="373737"/>
          <w:spacing w:val="0"/>
          <w:sz w:val="28"/>
          <w:szCs w:val="28"/>
          <w:shd w:val="clear" w:fill="FFFFFF"/>
          <w:vertAlign w:val="baseline"/>
          <w:lang w:val="en-US" w:eastAsia="zh-CN"/>
        </w:rPr>
        <w:t>工资上线，统筹内部分由机关事业保险直接支付给退休职工</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2. </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lang w:eastAsia="zh-CN"/>
        </w:rPr>
        <w:t>公共安全</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（类）</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lang w:eastAsia="zh-CN"/>
        </w:rPr>
        <w:t>司法</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（款）行政</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lang w:eastAsia="zh-CN"/>
        </w:rPr>
        <w:t>运行</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217.07</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294.38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135.62</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%。决算数大于预算数的主要原因在职职工增长了工资，使医疗保险的缴交比例增加了。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1.46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w:t>
      </w:r>
      <w:r>
        <w:rPr>
          <w:rFonts w:hint="eastAsia" w:asciiTheme="minorEastAsia" w:hAnsiTheme="minorEastAsia" w:cstheme="minorEastAsia"/>
          <w:i w:val="0"/>
          <w:caps w:val="0"/>
          <w:color w:val="373737"/>
          <w:spacing w:val="0"/>
          <w:sz w:val="28"/>
          <w:szCs w:val="28"/>
          <w:shd w:val="clear" w:fill="FFFFFF"/>
          <w:vertAlign w:val="baseline"/>
          <w:lang w:val="en-US" w:eastAsia="zh-CN"/>
        </w:rPr>
        <w:t>扶贫</w:t>
      </w:r>
      <w:r>
        <w:rPr>
          <w:rFonts w:hint="eastAsia" w:asciiTheme="minorEastAsia" w:hAnsiTheme="minorEastAsia" w:eastAsiaTheme="minorEastAsia" w:cstheme="minorEastAsia"/>
          <w:i w:val="0"/>
          <w:caps w:val="0"/>
          <w:color w:val="373737"/>
          <w:spacing w:val="0"/>
          <w:sz w:val="28"/>
          <w:szCs w:val="28"/>
          <w:shd w:val="clear" w:fill="FFFFFF"/>
          <w:vertAlign w:val="baseline"/>
        </w:rPr>
        <w:t>管理事务等项目资金。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15.17</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14.5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95.58</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val="en-US"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年在职职工</w:t>
      </w:r>
      <w:r>
        <w:rPr>
          <w:rFonts w:hint="eastAsia" w:asciiTheme="minorEastAsia" w:hAnsiTheme="minorEastAsia" w:cstheme="minorEastAsia"/>
          <w:i w:val="0"/>
          <w:caps w:val="0"/>
          <w:color w:val="373737"/>
          <w:spacing w:val="0"/>
          <w:sz w:val="28"/>
          <w:szCs w:val="28"/>
          <w:shd w:val="clear" w:fill="FFFFFF"/>
          <w:vertAlign w:val="baseline"/>
          <w:lang w:val="en-US" w:eastAsia="zh-CN"/>
        </w:rPr>
        <w:t>调出2人，工资总额减少了</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329.98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307.67</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万元，主要包括：基本工资、津贴补贴、奖金、其他社会保障缴费、伙食补助费、其他工资福利支出、退休费、奖励金、住房公积金、提租补贴、采暖补贴、其他对个人和家庭的补助支出；公用经费</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22.31</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万元，主要包括：办公费、印刷费、邮电费、差旅费、维修（护）费、劳务费、福利费、其他交通费用、办公设备购置。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3"/>
        <w:widowControl/>
        <w:shd w:val="clear" w:color="auto" w:fill="FFFFFF"/>
        <w:spacing w:beforeAutospacing="0" w:after="225" w:afterAutospacing="0"/>
        <w:ind w:firstLine="645"/>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0.79</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0.41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51.90</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0.41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51.90</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年度“三公”经费支出决算数</w:t>
      </w:r>
      <w:r>
        <w:rPr>
          <w:rFonts w:hint="eastAsia" w:asciiTheme="minorEastAsia" w:hAnsiTheme="minorEastAsia" w:cstheme="minorEastAsia"/>
          <w:i w:val="0"/>
          <w:caps w:val="0"/>
          <w:color w:val="373737"/>
          <w:spacing w:val="0"/>
          <w:sz w:val="28"/>
          <w:szCs w:val="28"/>
          <w:shd w:val="clear" w:fill="FFFFFF"/>
          <w:vertAlign w:val="baseline"/>
          <w:lang w:val="en-US" w:eastAsia="zh-CN"/>
        </w:rPr>
        <w:t>小于</w:t>
      </w:r>
      <w:r>
        <w:rPr>
          <w:rFonts w:hint="eastAsia" w:asciiTheme="minorEastAsia" w:hAnsiTheme="minorEastAsia" w:eastAsiaTheme="minorEastAsia" w:cstheme="minorEastAsia"/>
          <w:i w:val="0"/>
          <w:caps w:val="0"/>
          <w:color w:val="373737"/>
          <w:spacing w:val="0"/>
          <w:sz w:val="28"/>
          <w:szCs w:val="28"/>
          <w:shd w:val="clear" w:fill="FFFFFF"/>
          <w:vertAlign w:val="baseline"/>
        </w:rPr>
        <w:t>预算数</w:t>
      </w:r>
      <w:r>
        <w:rPr>
          <w:rFonts w:hint="eastAsia" w:asciiTheme="minorEastAsia" w:hAnsiTheme="minorEastAsia" w:cstheme="minorEastAsia"/>
          <w:i w:val="0"/>
          <w:caps w:val="0"/>
          <w:color w:val="373737"/>
          <w:spacing w:val="0"/>
          <w:sz w:val="28"/>
          <w:szCs w:val="28"/>
          <w:shd w:val="clear" w:fill="FFFFFF"/>
          <w:vertAlign w:val="baseline"/>
          <w:lang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主要原因是</w:t>
      </w:r>
      <w:r>
        <w:rPr>
          <w:rFonts w:hint="eastAsia" w:ascii="宋体" w:hAnsi="宋体" w:cs="宋体"/>
          <w:color w:val="373737"/>
          <w:sz w:val="28"/>
          <w:szCs w:val="28"/>
          <w:shd w:val="clear" w:color="auto" w:fill="FFFFFF"/>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0.25</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37.88</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%，公务用车购置及运行费支出决算0万元，原因为：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0.41</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val="en-US" w:eastAsia="zh-CN"/>
        </w:rPr>
        <w:t>减少51.90</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0.41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0</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.41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0</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.41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62</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3"/>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3"/>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3"/>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年度机关运行经费支出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22.31</w:t>
      </w:r>
      <w:r>
        <w:rPr>
          <w:rFonts w:hint="eastAsia" w:asciiTheme="minorEastAsia" w:hAnsiTheme="minorEastAsia" w:eastAsiaTheme="minorEastAsia" w:cstheme="minorEastAsia"/>
          <w:color w:val="333333"/>
          <w:sz w:val="28"/>
          <w:szCs w:val="28"/>
        </w:rPr>
        <w:t>万元，比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年增加</w:t>
      </w:r>
      <w:r>
        <w:rPr>
          <w:rFonts w:hint="eastAsia" w:asciiTheme="minorEastAsia" w:hAnsiTheme="minorEastAsia" w:cstheme="minorEastAsia"/>
          <w:color w:val="333333"/>
          <w:sz w:val="28"/>
          <w:szCs w:val="28"/>
          <w:lang w:val="en-US" w:eastAsia="zh-CN"/>
        </w:rPr>
        <w:t>4.17</w:t>
      </w:r>
      <w:r>
        <w:rPr>
          <w:rFonts w:hint="eastAsia" w:asciiTheme="minorEastAsia" w:hAnsiTheme="minorEastAsia" w:eastAsiaTheme="minorEastAsia" w:cstheme="minorEastAsia"/>
          <w:color w:val="333333"/>
          <w:sz w:val="28"/>
          <w:szCs w:val="28"/>
        </w:rPr>
        <w:t xml:space="preserve"> 万元，增长</w:t>
      </w:r>
      <w:r>
        <w:rPr>
          <w:rFonts w:hint="eastAsia" w:asciiTheme="minorEastAsia" w:hAnsiTheme="minorEastAsia" w:cstheme="minorEastAsia"/>
          <w:color w:val="333333"/>
          <w:sz w:val="28"/>
          <w:szCs w:val="28"/>
          <w:lang w:val="en-US" w:eastAsia="zh-CN"/>
        </w:rPr>
        <w:t>22.99</w:t>
      </w:r>
      <w:r>
        <w:rPr>
          <w:rFonts w:hint="eastAsia" w:asciiTheme="minorEastAsia" w:hAnsiTheme="minorEastAsia" w:eastAsiaTheme="minorEastAsia" w:cstheme="minorEastAsia"/>
          <w:color w:val="333333"/>
          <w:sz w:val="28"/>
          <w:szCs w:val="28"/>
        </w:rPr>
        <w:t>%。主要原因是：</w:t>
      </w:r>
      <w:r>
        <w:rPr>
          <w:rFonts w:hint="eastAsia" w:asciiTheme="minorEastAsia" w:hAnsiTheme="minorEastAsia" w:cstheme="minorEastAsia"/>
          <w:color w:val="333333"/>
          <w:sz w:val="28"/>
          <w:szCs w:val="28"/>
          <w:lang w:val="en-US" w:eastAsia="zh-CN"/>
        </w:rPr>
        <w:t>司法行政运行业务费用增加</w:t>
      </w:r>
      <w:r>
        <w:rPr>
          <w:rFonts w:hint="eastAsia" w:asciiTheme="minorEastAsia" w:hAnsiTheme="minorEastAsia" w:eastAsiaTheme="minorEastAsia" w:cstheme="minorEastAsia"/>
          <w:color w:val="333333"/>
          <w:sz w:val="28"/>
          <w:szCs w:val="28"/>
        </w:rPr>
        <w:t>。</w:t>
      </w:r>
    </w:p>
    <w:p>
      <w:pPr>
        <w:pStyle w:val="3"/>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3"/>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年度政府采购支出总额</w:t>
      </w:r>
      <w:r>
        <w:rPr>
          <w:rFonts w:hint="eastAsia" w:ascii="宋体" w:hAnsi="宋体" w:cs="宋体"/>
          <w:color w:val="333333"/>
          <w:sz w:val="28"/>
          <w:szCs w:val="28"/>
          <w:lang w:val="en-US" w:eastAsia="zh-CN"/>
        </w:rPr>
        <w:t>2.63</w:t>
      </w:r>
      <w:r>
        <w:rPr>
          <w:rFonts w:hint="eastAsia" w:asciiTheme="minorEastAsia" w:hAnsiTheme="minorEastAsia" w:eastAsiaTheme="minorEastAsia" w:cstheme="minorEastAsia"/>
          <w:color w:val="333333"/>
          <w:sz w:val="28"/>
          <w:szCs w:val="28"/>
        </w:rPr>
        <w:t>万元，其中：政府采购货物支出</w:t>
      </w:r>
      <w:r>
        <w:rPr>
          <w:rFonts w:hint="eastAsia" w:ascii="宋体" w:hAnsi="宋体" w:cs="宋体"/>
          <w:color w:val="333333"/>
          <w:sz w:val="28"/>
          <w:szCs w:val="28"/>
          <w:lang w:val="en-US" w:eastAsia="zh-CN"/>
        </w:rPr>
        <w:t>2.63</w:t>
      </w:r>
      <w:r>
        <w:rPr>
          <w:rFonts w:hint="eastAsia" w:asciiTheme="minorEastAsia" w:hAnsiTheme="minorEastAsia" w:eastAsiaTheme="minorEastAsia" w:cstheme="minorEastAsia"/>
          <w:color w:val="333333"/>
          <w:sz w:val="28"/>
          <w:szCs w:val="28"/>
        </w:rPr>
        <w:t>万元。</w:t>
      </w:r>
    </w:p>
    <w:p>
      <w:pPr>
        <w:pStyle w:val="3"/>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3"/>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cstheme="minorEastAsia"/>
          <w:color w:val="333333"/>
          <w:sz w:val="28"/>
          <w:szCs w:val="28"/>
          <w:lang w:val="en-US" w:eastAsia="zh-CN"/>
        </w:rPr>
        <w:t>2</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cstheme="minorEastAsia"/>
          <w:color w:val="333333"/>
          <w:sz w:val="28"/>
          <w:szCs w:val="28"/>
          <w:lang w:val="en-US" w:eastAsia="zh-CN"/>
        </w:rPr>
        <w:t>2</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w:t>
      </w:r>
      <w:r>
        <w:rPr>
          <w:rFonts w:hint="eastAsia" w:asciiTheme="minorEastAsia" w:hAnsiTheme="minorEastAsia" w:cstheme="minorEastAsia"/>
          <w:color w:val="333333"/>
          <w:sz w:val="28"/>
          <w:szCs w:val="28"/>
          <w:lang w:val="en-US" w:eastAsia="zh-CN"/>
        </w:rPr>
        <w:t>无</w:t>
      </w:r>
      <w:r>
        <w:rPr>
          <w:rFonts w:hint="eastAsia" w:asciiTheme="minorEastAsia" w:hAnsiTheme="minorEastAsia" w:eastAsiaTheme="minorEastAsia" w:cstheme="minorEastAsia"/>
          <w:color w:val="333333"/>
          <w:sz w:val="28"/>
          <w:szCs w:val="28"/>
        </w:rPr>
        <w:t>单位价值 50 万万元以上通用设备</w:t>
      </w:r>
      <w:r>
        <w:rPr>
          <w:rFonts w:hint="eastAsia" w:asciiTheme="minorEastAsia" w:hAnsiTheme="minorEastAsia" w:cstheme="minorEastAsia"/>
          <w:color w:val="333333"/>
          <w:sz w:val="28"/>
          <w:szCs w:val="28"/>
          <w:lang w:val="en-US" w:eastAsia="zh-CN"/>
        </w:rPr>
        <w:t>和</w:t>
      </w:r>
      <w:r>
        <w:rPr>
          <w:rFonts w:hint="eastAsia" w:asciiTheme="minorEastAsia" w:hAnsiTheme="minorEastAsia" w:eastAsiaTheme="minorEastAsia" w:cstheme="minorEastAsia"/>
          <w:color w:val="333333"/>
          <w:sz w:val="28"/>
          <w:szCs w:val="28"/>
        </w:rPr>
        <w:t>单价100 万万元以上专用设备。</w:t>
      </w:r>
    </w:p>
    <w:p>
      <w:pPr>
        <w:pStyle w:val="3"/>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年度预算绩效情况说明</w:t>
      </w:r>
    </w:p>
    <w:p>
      <w:pPr>
        <w:pStyle w:val="3"/>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cstheme="minorEastAsia"/>
          <w:color w:val="333333"/>
          <w:sz w:val="28"/>
          <w:szCs w:val="28"/>
          <w:lang w:val="en-US" w:eastAsia="zh-CN"/>
        </w:rPr>
        <w:t>18.97</w:t>
      </w:r>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cstheme="minorEastAsia"/>
          <w:color w:val="333333"/>
          <w:sz w:val="28"/>
          <w:szCs w:val="28"/>
          <w:lang w:val="en-US" w:eastAsia="zh-CN"/>
        </w:rPr>
        <w:t>法律援助</w:t>
      </w:r>
      <w:r>
        <w:rPr>
          <w:rFonts w:hint="eastAsia" w:asciiTheme="minorEastAsia" w:hAnsiTheme="minorEastAsia" w:eastAsiaTheme="minorEastAsia" w:cstheme="minorEastAsia"/>
          <w:color w:val="333333"/>
          <w:sz w:val="28"/>
          <w:szCs w:val="28"/>
        </w:rPr>
        <w:t>”等</w:t>
      </w:r>
      <w:r>
        <w:rPr>
          <w:rFonts w:hint="eastAsia" w:asciiTheme="minorEastAsia" w:hAnsiTheme="minorEastAsia" w:cstheme="minorEastAsia"/>
          <w:color w:val="333333"/>
          <w:sz w:val="28"/>
          <w:szCs w:val="28"/>
          <w:lang w:val="en-US" w:eastAsia="zh-CN"/>
        </w:rPr>
        <w:t>3</w:t>
      </w:r>
      <w:r>
        <w:rPr>
          <w:rFonts w:hint="eastAsia" w:asciiTheme="minorEastAsia" w:hAnsiTheme="minorEastAsia" w:eastAsiaTheme="minorEastAsia" w:cstheme="minorEastAsia"/>
          <w:color w:val="333333"/>
          <w:sz w:val="28"/>
          <w:szCs w:val="28"/>
        </w:rPr>
        <w:t xml:space="preserve"> 个项目进行了绩效评价，共涉及资金</w:t>
      </w:r>
      <w:r>
        <w:rPr>
          <w:rFonts w:hint="eastAsia" w:asciiTheme="minorEastAsia" w:hAnsiTheme="minorEastAsia" w:cstheme="minorEastAsia"/>
          <w:color w:val="333333"/>
          <w:sz w:val="28"/>
          <w:szCs w:val="28"/>
          <w:lang w:val="en-US" w:eastAsia="zh-CN"/>
        </w:rPr>
        <w:t>18.97</w:t>
      </w:r>
      <w:r>
        <w:rPr>
          <w:rFonts w:hint="eastAsia" w:asciiTheme="minorEastAsia" w:hAnsiTheme="minorEastAsia" w:eastAsiaTheme="minorEastAsia" w:cstheme="minorEastAsia"/>
          <w:color w:val="333333"/>
          <w:sz w:val="28"/>
          <w:szCs w:val="28"/>
        </w:rPr>
        <w:t>万元。从评价情况来看，本部门</w:t>
      </w:r>
      <w:r>
        <w:rPr>
          <w:rFonts w:hint="eastAsia" w:ascii="宋体" w:hAnsi="宋体" w:cs="宋体"/>
          <w:color w:val="333333"/>
          <w:sz w:val="28"/>
          <w:szCs w:val="28"/>
        </w:rPr>
        <w:t>资金使用基本达到预算管理要求和年初设定的绩效目标</w:t>
      </w:r>
      <w:r>
        <w:rPr>
          <w:rFonts w:hint="eastAsia" w:asciiTheme="minorEastAsia" w:hAnsiTheme="minorEastAsia" w:eastAsiaTheme="minorEastAsia" w:cstheme="minorEastAsia"/>
          <w:color w:val="333333"/>
          <w:sz w:val="28"/>
          <w:szCs w:val="28"/>
        </w:rPr>
        <w:t>。</w:t>
      </w:r>
    </w:p>
    <w:p>
      <w:pPr>
        <w:pStyle w:val="3"/>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3"/>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3"/>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3"/>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3"/>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3"/>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3"/>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7541389"/>
    <w:rsid w:val="098217C0"/>
    <w:rsid w:val="0E980DC7"/>
    <w:rsid w:val="118A7469"/>
    <w:rsid w:val="179B676B"/>
    <w:rsid w:val="1A6A04E1"/>
    <w:rsid w:val="1B277D61"/>
    <w:rsid w:val="1CFB22BC"/>
    <w:rsid w:val="2A054FEB"/>
    <w:rsid w:val="2DE7389C"/>
    <w:rsid w:val="3DDC6AB6"/>
    <w:rsid w:val="3F4A1FEE"/>
    <w:rsid w:val="419008B3"/>
    <w:rsid w:val="51D66082"/>
    <w:rsid w:val="55110360"/>
    <w:rsid w:val="62763A6A"/>
    <w:rsid w:val="6B6E45D7"/>
    <w:rsid w:val="6BC52739"/>
    <w:rsid w:val="72004457"/>
    <w:rsid w:val="763C3B43"/>
    <w:rsid w:val="768870B2"/>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Body Text"/>
    <w:basedOn w:val="1"/>
    <w:uiPriority w:val="0"/>
    <w:pPr>
      <w:ind w:left="260"/>
    </w:pPr>
    <w:rPr>
      <w:rFonts w:ascii="宋体" w:hAnsi="宋体" w:eastAsia="宋体" w:cs="宋体"/>
      <w:sz w:val="32"/>
      <w:szCs w:val="32"/>
      <w:lang w:val="zh-CN" w:eastAsia="zh-CN" w:bidi="zh-CN"/>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qFormat/>
    <w:uiPriority w:val="0"/>
    <w:rPr>
      <w:color w:val="333333"/>
      <w:sz w:val="18"/>
      <w:szCs w:val="18"/>
      <w:u w:val="none"/>
    </w:rPr>
  </w:style>
  <w:style w:type="character" w:styleId="8">
    <w:name w:val="Emphasis"/>
    <w:basedOn w:val="5"/>
    <w:qFormat/>
    <w:uiPriority w:val="0"/>
    <w:rPr>
      <w:i/>
    </w:rPr>
  </w:style>
  <w:style w:type="character" w:styleId="9">
    <w:name w:val="Hyperlink"/>
    <w:basedOn w:val="5"/>
    <w:qFormat/>
    <w:uiPriority w:val="0"/>
    <w:rPr>
      <w:color w:val="333333"/>
      <w:sz w:val="18"/>
      <w:szCs w:val="18"/>
      <w:u w:val="none"/>
    </w:rPr>
  </w:style>
  <w:style w:type="character" w:customStyle="1" w:styleId="10">
    <w:name w:val="laiy"/>
    <w:basedOn w:val="5"/>
    <w:qFormat/>
    <w:uiPriority w:val="0"/>
  </w:style>
  <w:style w:type="character" w:customStyle="1" w:styleId="11">
    <w:name w:val="zuoz"/>
    <w:basedOn w:val="5"/>
    <w:qFormat/>
    <w:uiPriority w:val="0"/>
  </w:style>
  <w:style w:type="character" w:customStyle="1" w:styleId="12">
    <w:name w:val="update"/>
    <w:basedOn w:val="5"/>
    <w:qFormat/>
    <w:uiPriority w:val="0"/>
  </w:style>
  <w:style w:type="character" w:customStyle="1" w:styleId="13">
    <w:name w:val="hot1"/>
    <w:basedOn w:val="5"/>
    <w:qFormat/>
    <w:uiPriority w:val="0"/>
  </w:style>
  <w:style w:type="character" w:customStyle="1" w:styleId="14">
    <w:name w:val="td12"/>
    <w:basedOn w:val="5"/>
    <w:qFormat/>
    <w:uiPriority w:val="0"/>
    <w:rPr>
      <w:rFonts w:ascii="Arial" w:hAnsi="Arial" w:cs="Arial"/>
      <w:color w:val="FFFFFF"/>
      <w:sz w:val="16"/>
      <w:szCs w:val="16"/>
    </w:rPr>
  </w:style>
  <w:style w:type="character" w:customStyle="1" w:styleId="15">
    <w:name w:val="td22"/>
    <w:basedOn w:val="5"/>
    <w:uiPriority w:val="0"/>
  </w:style>
  <w:style w:type="character" w:customStyle="1" w:styleId="16">
    <w:name w:val="td32"/>
    <w:basedOn w:val="5"/>
    <w:uiPriority w:val="0"/>
  </w:style>
  <w:style w:type="character" w:customStyle="1" w:styleId="17">
    <w:name w:val="home"/>
    <w:basedOn w:val="5"/>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lenovo</cp:lastModifiedBy>
  <dcterms:modified xsi:type="dcterms:W3CDTF">2019-09-19T06:52:51Z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